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1D" w:rsidRPr="00EF3C12" w:rsidRDefault="0021201D" w:rsidP="00EF3C12">
      <w:pPr>
        <w:pStyle w:val="ListParagraph"/>
        <w:widowControl w:val="0"/>
        <w:tabs>
          <w:tab w:val="num" w:pos="0"/>
        </w:tabs>
        <w:spacing w:after="0" w:line="240" w:lineRule="auto"/>
        <w:ind w:firstLine="709"/>
        <w:jc w:val="center"/>
        <w:rPr>
          <w:rFonts w:ascii="Times New Roman" w:hAnsi="Times New Roman"/>
          <w:b/>
          <w:bCs/>
          <w:iCs/>
          <w:sz w:val="28"/>
          <w:szCs w:val="28"/>
          <w:lang w:val="en-US" w:eastAsia="uk-UA"/>
        </w:rPr>
      </w:pPr>
      <w:r w:rsidRPr="00EF3C12">
        <w:rPr>
          <w:rFonts w:ascii="Times New Roman" w:hAnsi="Times New Roman"/>
          <w:b/>
          <w:bCs/>
          <w:iCs/>
          <w:sz w:val="28"/>
          <w:szCs w:val="28"/>
          <w:lang w:val="en-US" w:eastAsia="uk-UA"/>
        </w:rPr>
        <w:t>2017 Yılında Devlet Yüksek Öğrenim Kurumu "</w:t>
      </w:r>
      <w:smartTag w:uri="urn:schemas-microsoft-com:office:smarttags" w:element="place">
        <w:smartTag w:uri="urn:schemas-microsoft-com:office:smarttags" w:element="PlaceName">
          <w:r w:rsidRPr="00EF3C12">
            <w:rPr>
              <w:rFonts w:ascii="Times New Roman" w:hAnsi="Times New Roman"/>
              <w:b/>
              <w:bCs/>
              <w:iCs/>
              <w:sz w:val="28"/>
              <w:szCs w:val="28"/>
              <w:lang w:val="en-US" w:eastAsia="uk-UA"/>
            </w:rPr>
            <w:t>Kherson</w:t>
          </w:r>
        </w:smartTag>
        <w:r w:rsidRPr="00EF3C12">
          <w:rPr>
            <w:rFonts w:ascii="Times New Roman" w:hAnsi="Times New Roman"/>
            <w:b/>
            <w:bCs/>
            <w:iCs/>
            <w:sz w:val="28"/>
            <w:szCs w:val="28"/>
            <w:lang w:val="en-US" w:eastAsia="uk-UA"/>
          </w:rPr>
          <w:t xml:space="preserve"> </w:t>
        </w:r>
        <w:smartTag w:uri="urn:schemas-microsoft-com:office:smarttags" w:element="PlaceType">
          <w:r w:rsidRPr="00EF3C12">
            <w:rPr>
              <w:rFonts w:ascii="Times New Roman" w:hAnsi="Times New Roman"/>
              <w:b/>
              <w:bCs/>
              <w:iCs/>
              <w:sz w:val="28"/>
              <w:szCs w:val="28"/>
              <w:lang w:val="en-US" w:eastAsia="uk-UA"/>
            </w:rPr>
            <w:t>State</w:t>
          </w:r>
        </w:smartTag>
        <w:r w:rsidRPr="00EF3C12">
          <w:rPr>
            <w:rFonts w:ascii="Times New Roman" w:hAnsi="Times New Roman"/>
            <w:b/>
            <w:bCs/>
            <w:iCs/>
            <w:sz w:val="28"/>
            <w:szCs w:val="28"/>
            <w:lang w:val="en-US" w:eastAsia="uk-UA"/>
          </w:rPr>
          <w:t xml:space="preserve"> </w:t>
        </w:r>
        <w:smartTag w:uri="urn:schemas-microsoft-com:office:smarttags" w:element="PlaceName">
          <w:r w:rsidRPr="00EF3C12">
            <w:rPr>
              <w:rFonts w:ascii="Times New Roman" w:hAnsi="Times New Roman"/>
              <w:b/>
              <w:bCs/>
              <w:iCs/>
              <w:sz w:val="28"/>
              <w:szCs w:val="28"/>
              <w:lang w:val="en-US" w:eastAsia="uk-UA"/>
            </w:rPr>
            <w:t>Agrarian</w:t>
          </w:r>
        </w:smartTag>
        <w:r w:rsidRPr="00EF3C12">
          <w:rPr>
            <w:rFonts w:ascii="Times New Roman" w:hAnsi="Times New Roman"/>
            <w:b/>
            <w:bCs/>
            <w:iCs/>
            <w:sz w:val="28"/>
            <w:szCs w:val="28"/>
            <w:lang w:val="en-US" w:eastAsia="uk-UA"/>
          </w:rPr>
          <w:t xml:space="preserve"> </w:t>
        </w:r>
        <w:smartTag w:uri="urn:schemas-microsoft-com:office:smarttags" w:element="PlaceType">
          <w:r w:rsidRPr="00EF3C12">
            <w:rPr>
              <w:rFonts w:ascii="Times New Roman" w:hAnsi="Times New Roman"/>
              <w:b/>
              <w:bCs/>
              <w:iCs/>
              <w:sz w:val="28"/>
              <w:szCs w:val="28"/>
              <w:lang w:val="en-US" w:eastAsia="uk-UA"/>
            </w:rPr>
            <w:t>University</w:t>
          </w:r>
        </w:smartTag>
      </w:smartTag>
      <w:r w:rsidRPr="00EF3C12">
        <w:rPr>
          <w:rFonts w:ascii="Times New Roman" w:hAnsi="Times New Roman"/>
          <w:b/>
          <w:bCs/>
          <w:iCs/>
          <w:sz w:val="28"/>
          <w:szCs w:val="28"/>
          <w:lang w:val="en-US" w:eastAsia="uk-UA"/>
        </w:rPr>
        <w:t>" 'de yabancılar ve vatansız insanlar okula kabulün özellikleri</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 Yabancıların ve vatansız kişilerin KSA'ya kabulü, "Yüksek Öğrenim Üzerine", "Yabancılar ve Vasas Hükümet Dışı Kişilerin Yasal Durumu", "Yabancı Ukraynalılar Üzerine", "Açık" Ukrayna Kanunlarına göre yapılır. 03 Haziran 1994 tarihli Ukrayna Cumhurbaşkanı Kararı ile 271 sayılı "Belarus Bölgesinin Bitişik Bölgeleri İle Ukrayna Bölgelerinin Ekonomik İşbirliğinin Geliştirilmesi için Tedbirler Hakkında Kararıyla Ek ve / veya Geçici Korumaya İhtiyaç Eden Mülteciler ve Kişiler" Moldova Cumhuriyeti İdari Bölgesel Birimleri ", Ka Kararnameleri 26 Eylül 1993 tarihli Ukrayna Bakanlar İnternet İnterneti, 11 Eylül 2013 tarih ve 684 sayılı" Ukrayna'da Yabancı Vatandaşların Eğitimi Hakkında " 1 Kasım 2013 tarihli ve 1541 sayılı Ukrayna Eğitim ve Bilim Dairesinin emriyle "yabancılar ve vatansız kişiler eğitmek için bazı istihdam konuları" konusuna değindi. "İşe Alım ve Eğitim Organizasyonu'nun Bazı Konuları (Staj) 2004/24536 (Ukrayna Eğitim ve Bilim Bakanlığı'nın 11 Aralık 2015 tarihli ve 1272 sayılı Kararı ile değiştirilerek) 25 Kasım 2013'te Ukrayna Adalet Bakanlığına kayıtlı "Yabancılar ve Vasas Varsa Şahıslar" olarak anılacaktır.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2. Yabancılar ve vatansız kişiler (bundan böyle yabancılar diye anılacaktır), Ukrayna'nın uluslararası sözleşmeleri tarafından aksi öngörülmedikçe fizikî (yasal) kimseler pahasına yüksek öğrenim görmüş olabilirler; bunun izni Verkhovna Rada tarafından verilmektedir. Ukrayna, KSAU arasındaki mevzuat veya anlaşmalar "Uluslararası akademik hareketlilik hakkında.</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Yabancılar, devlet bütçesinden ödün vermek üzere KSAÜ orta öğretim okullarına kabul edilmek için yabancılar için kota uygulanmaktadır.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Yabancılar için kota - kamu alımları hacminin belirli bir kısmı, aşağıdakilerden katılımcı almak için kullanılır: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Ukrayna'nın uluslararası antlaşmalarına uygun olarak okumak için gelen yabancılar;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Ukraynalılar yurtdışında olup, statüsü yabancı bir Ukraynalı tarafından onaylanmıştır.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3. Okumak amacıyla Ukrayna'ya gelen yabancılar, akredite olmuş eğitim programl</w:t>
      </w:r>
      <w:r>
        <w:rPr>
          <w:rFonts w:ascii="Times New Roman" w:hAnsi="Times New Roman"/>
          <w:bCs/>
          <w:iCs/>
          <w:sz w:val="28"/>
          <w:szCs w:val="28"/>
          <w:lang w:val="uk-UA" w:eastAsia="uk-UA"/>
        </w:rPr>
        <w:t>arı (spesiyaliteler) altında KS</w:t>
      </w:r>
      <w:r w:rsidRPr="00EF3C12">
        <w:rPr>
          <w:rFonts w:ascii="Times New Roman" w:hAnsi="Times New Roman"/>
          <w:bCs/>
          <w:iCs/>
          <w:sz w:val="28"/>
          <w:szCs w:val="28"/>
          <w:lang w:val="uk-UA" w:eastAsia="uk-UA"/>
        </w:rPr>
        <w:t>AU Yüksek Öğrenim Kurumu'na girerler.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Fiziksel (yasal) kişilerin ödemesiyle yabancı öğrencilerin</w:t>
      </w:r>
      <w:r>
        <w:rPr>
          <w:rFonts w:ascii="Times New Roman" w:hAnsi="Times New Roman"/>
          <w:bCs/>
          <w:iCs/>
          <w:sz w:val="28"/>
          <w:szCs w:val="28"/>
          <w:lang w:val="uk-UA" w:eastAsia="uk-UA"/>
        </w:rPr>
        <w:t xml:space="preserve"> eğitimine kabul edilmesi KSAU</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 bir akademik dönem öncesi ve başında (ancak sırasıyla 1 Kasım ve 1 Mart'ta olmak üzere) yılda iki kez olmak üzere, bir lisans derecesi almak için; yüksek lisans;</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2) lisansüstü eğitim için yıl boyunca, doktora çalışmaları.</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4. Eğitim amacıyla Ukrayna'ya gelen yabancılar, KSAU Eğitim Yüksek Okulu'nda eğitim almak üzere, Tüzük uyarınca davet edilmelidir.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2017 yılında Devlet Yüksek Öğrenim Kurumu "Kherson State Agrarian University" 'de yabancıların ve vatansız kişilerin istihdam edilmesi ve eğitimi düzenlenmesi hakkında.</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5. KSAU, önceki eğitim seviyesindeki belge temel alınarak, kabul puanlarının hesaplanmasını ve giriş sınavlarının yapıldığı genel konulardan gelen minimum not sayısını belirlemektedir.</w:t>
      </w:r>
    </w:p>
    <w:p w:rsidR="0021201D"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6. Yabancıların yükseköğretimin uygun seviyesinde çalışmaya kabul edilmeleri, belirtilen konularda ve okutulan dille ilgili giriş sınavlarının sonuçlarına ve kazanılmış düzeyde doküman tarafından verilen sürekli eğitime ilişkin akademik haklara dayanacaktır. Elde edilen eğitim seviyesine ilişkin belgeyi düzenleyen ülkenin mevzuatına uygun olarak bir sonraki yüksek öğrenim seviyesinde eğitime devam etme hakkını veren başarı noktalarını da dikkate alarak hazırlanmıştır.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7. Tam ortaöğretim ile ilgili belgeler temelinde lisans almak için yapılan araştırmalara kayıtlı yabancılar ve vasasız kişilerin kabulü, tüzel kişiler ve kişiler pahasına gerçekleştirilecektir.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Lisans programına kayıtlı olan "KSAU" yabancı ve statüssüz ortaokullara kabul, bu Kuralların tablo 4'ü uyarınca üç konuda röportaj-mülakata tabi tutulur. Test mülâkatı, ilgili konuların harici bağımsız değerlendirilmesi programlarına göre yürütülür. Test mülakatı sonuçları, her bir konuda 100 ila 200 puanlık bir ölçekte değerlendirilir. Rekabetçi konulara ilişkin bilgi seviyeleri, bu Kurallara göre Tablo 4'te belirtilenlerden daha düşük derecelendirilmeyen kişilerin rekabetçi seçime katılmasına izin verilir. Kabul Komisyonu tarafından onaylanmış ve kamuya açıklanan bir programla bir tanıtım testi röportajı yapılır. Görüşme sonuçları, mezunların akademik başarılarının dış değerlendirmesinin sonuçları ile dikkate alınabilir; bu puan, kabul edilen asgari seviyenin altına değin olmayan Ukrayna'nın (eğer varsa) dıştan bağımsız değerlendirme sertifikaları ile teyit edilir. Bu Kuralların Tablo 4'te belirtilen rekabetçi seçime katılım.</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Bireylerin, tüzel kişiliklerin pahasına çalışmak üzere KSAU'ya kayıt yaptırmak, Kabul Komisyonunun giriş sınavlarının sonuçlarına ilişkin tavsiyelerine dayanır.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8. Bir yüksek lisans için eğitim almak üzere, bir uzmanlık alanına giren bir uzmanlığın lisans derecesini veya eğitim nitelik seviyesini elde eden yabancılar ve vatansız kişiler kabulü, bireylerin ve tüzel kişilerin fonlarının pahasına yürütülür.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Kabul, Giriş Sınavlarının sonuçlarına ilişkin Kabul Komisyonunun önerileri üzerine kurulmuştur. Belirtilen kategori kategorisine giren "KSAU" orta öğretim okuluna kabul, iki test-mülakat (Ukrayna dilinde profesyonel testler ve testler) temelinde yürütülür. Profesyonel sınavla ilgili röportaj, ilgili uzmanlık alanlarındaki profesyonel testlerin Programları ve KSAU Akademik Konseyi tarafından onaylanan yabancılar ve vatansız kişiler için Ukrayna dili için yapılan Mülakat programıyla yapılır. Test görüşmesinin sonuçları, konu programı tarafından tanımlanan ölçeğe göre değerlendirilir. Giriş sınavlarının yürütülmesi, Kabul Ofisi tarafından onaylanan programa göre yapılır.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Bireylerin, tüzel kişilerin karşılığı olarak eğitim almak için Üniversiteye kabul, Giriş Sınavlarının sonuçlarına ilişkin Kabul Komisyonunun tavsiyelerine dayanır.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9. Çalışmalara katılan tüm yabancılar kategorisi, Birleştirilmiş Tabanda oluşturulan kayıt siparişlerine dayanarak KSIAU orta öğretim okullarına yatırılır.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10. KSAU'nun, gelen öğrencilerin eğitim amacıyla Ukrayna'ya gelen yabancılardan, ilgili yüksek öğrenim seviyelerine kabul koşullarından ve başvuruları kabul etme şartlarından Belgeler, giriş sınavları ve kayıt işlemleri, Kabul Kurallarında belirtilmiş ve KSAU resmi web sitesinde kamuya açıklanmıştır.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11. Uluslararası anlaşmalar, ulusal programlar ve Ukrayna'nın diğer uluslararası taahhütleri kapsamında devlet bursu alan yabancılar, Eğitim ve Bilim Bakanlığının talimatlarına dayanarak kurulan yabancılar kotaları kapsamında incelemeye kabul edilmektedir.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12. Ukrayna ve yabancı yüksek öğrenim kurumları arasında kabul edilen eğitim programlarına uygun olarak akademik hareketlilik programlarına katılmak ya da yüksek öğrenim görmek için Ukrayna'ya gelen yabancılar, KSIAU Eyalet Üniversitesi'nin ilgili sözleşme yükümlülüklerini dikkate alarak çalışma için kabul edilir.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13. Ukrayna'da yasal olarak ikamet eden ve statüsü yabancı bir Ukraynalı tarafından onaylanan Yabancı Ukraynalılar, Devlet Yüksek Öğrenim Kurumu'na ("KSAU") başvururken, Ukrayna vatandaşlarıyla aynı haklara sahip olmakla birlikte, Anayasa ile istisnalar uygulanır Ukrayna, Ukrayna kanunları veya Uluslararası anlaşmalar, bunların rızası Verkhovna Rada için geçerlidir.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14. Yabancı Ukraynalı statüsünü teyit eden yabancı Ukraynalılar, yabancıların, Kabul Kuralları ile öngörülen konularla röportaj yapmak için oluşturulan kotaları çerçevesinde devlet emirleri için eğitim alabilirler.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15. Yabancılardan "KSIAU" ya başvuru belgeleri ve belgeler 01.08.2017'den 23.02.2018'e kadar yapılır.</w:t>
      </w:r>
    </w:p>
    <w:p w:rsidR="0021201D" w:rsidRPr="00EF3C12" w:rsidRDefault="0021201D" w:rsidP="00EF3C12">
      <w:pPr>
        <w:pStyle w:val="ListParagraph"/>
        <w:widowControl w:val="0"/>
        <w:tabs>
          <w:tab w:val="num" w:pos="0"/>
        </w:tabs>
        <w:spacing w:after="0" w:line="240" w:lineRule="auto"/>
        <w:ind w:firstLine="709"/>
        <w:jc w:val="both"/>
        <w:rPr>
          <w:rFonts w:ascii="Times New Roman" w:hAnsi="Times New Roman"/>
          <w:bCs/>
          <w:iCs/>
          <w:sz w:val="28"/>
          <w:szCs w:val="28"/>
          <w:lang w:val="uk-UA" w:eastAsia="uk-UA"/>
        </w:rPr>
      </w:pPr>
      <w:r w:rsidRPr="00EF3C12">
        <w:rPr>
          <w:rFonts w:ascii="Times New Roman" w:hAnsi="Times New Roman"/>
          <w:bCs/>
          <w:iCs/>
          <w:sz w:val="28"/>
          <w:szCs w:val="28"/>
          <w:lang w:val="uk-UA" w:eastAsia="uk-UA"/>
        </w:rPr>
        <w:t>Kursa giren yabancıların tümü için kabul kampanyasının aşamaları aşağıdaki gibidir:</w:t>
      </w: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p w:rsidR="0021201D" w:rsidRPr="009B4CF1"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en-US"/>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89"/>
        <w:gridCol w:w="3084"/>
      </w:tblGrid>
      <w:tr w:rsidR="0021201D" w:rsidRPr="00687AAC" w:rsidTr="00F94CBA">
        <w:tc>
          <w:tcPr>
            <w:tcW w:w="3190"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Başvuru ve belgelerin kabulü başlangıcı</w:t>
            </w:r>
          </w:p>
        </w:tc>
        <w:tc>
          <w:tcPr>
            <w:tcW w:w="3189"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01 Ağustos 2017</w:t>
            </w:r>
          </w:p>
        </w:tc>
        <w:tc>
          <w:tcPr>
            <w:tcW w:w="3084"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16 Ocak 2018</w:t>
            </w:r>
          </w:p>
        </w:tc>
      </w:tr>
      <w:tr w:rsidR="0021201D" w:rsidRPr="00027C53" w:rsidTr="00BE5194">
        <w:tc>
          <w:tcPr>
            <w:tcW w:w="3190"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Başvuru ve belgelerin kabulünün tamamlanması</w:t>
            </w:r>
          </w:p>
        </w:tc>
        <w:tc>
          <w:tcPr>
            <w:tcW w:w="3189" w:type="dxa"/>
          </w:tcPr>
          <w:p w:rsidR="0021201D" w:rsidRPr="009B4CF1" w:rsidRDefault="0021201D" w:rsidP="007379A0">
            <w:pPr>
              <w:jc w:val="center"/>
              <w:rPr>
                <w:rFonts w:ascii="Times New Roman" w:hAnsi="Times New Roman"/>
                <w:sz w:val="28"/>
                <w:szCs w:val="28"/>
                <w:lang w:val="uk-UA"/>
              </w:rPr>
            </w:pPr>
            <w:r w:rsidRPr="009B4CF1">
              <w:rPr>
                <w:rFonts w:ascii="Times New Roman" w:hAnsi="Times New Roman"/>
                <w:sz w:val="28"/>
                <w:szCs w:val="28"/>
              </w:rPr>
              <w:t>20 Ekim 2017</w:t>
            </w:r>
          </w:p>
        </w:tc>
        <w:tc>
          <w:tcPr>
            <w:tcW w:w="3084" w:type="dxa"/>
          </w:tcPr>
          <w:p w:rsidR="0021201D" w:rsidRPr="009B4CF1" w:rsidRDefault="0021201D" w:rsidP="007379A0">
            <w:pPr>
              <w:jc w:val="center"/>
              <w:rPr>
                <w:rFonts w:ascii="Times New Roman" w:hAnsi="Times New Roman"/>
                <w:sz w:val="28"/>
                <w:szCs w:val="28"/>
              </w:rPr>
            </w:pPr>
            <w:r w:rsidRPr="009B4CF1">
              <w:rPr>
                <w:rFonts w:ascii="Times New Roman" w:hAnsi="Times New Roman"/>
                <w:sz w:val="28"/>
                <w:szCs w:val="28"/>
              </w:rPr>
              <w:t>23 Şubat 2018</w:t>
            </w:r>
          </w:p>
        </w:tc>
      </w:tr>
      <w:tr w:rsidR="0021201D" w:rsidRPr="00027C53" w:rsidTr="009F6AF0">
        <w:tc>
          <w:tcPr>
            <w:tcW w:w="3190"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Üniversite giriş sınavları / görüşmeler</w:t>
            </w:r>
          </w:p>
        </w:tc>
        <w:tc>
          <w:tcPr>
            <w:tcW w:w="3189"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23-27 Ekim 2017</w:t>
            </w:r>
          </w:p>
        </w:tc>
        <w:tc>
          <w:tcPr>
            <w:tcW w:w="3084" w:type="dxa"/>
          </w:tcPr>
          <w:p w:rsidR="0021201D" w:rsidRPr="009B4CF1" w:rsidRDefault="0021201D" w:rsidP="007379A0">
            <w:pPr>
              <w:jc w:val="center"/>
              <w:rPr>
                <w:rFonts w:ascii="Times New Roman" w:hAnsi="Times New Roman"/>
                <w:sz w:val="28"/>
                <w:szCs w:val="28"/>
              </w:rPr>
            </w:pPr>
            <w:r w:rsidRPr="009B4CF1">
              <w:rPr>
                <w:rFonts w:ascii="Times New Roman" w:hAnsi="Times New Roman"/>
                <w:sz w:val="28"/>
                <w:szCs w:val="28"/>
              </w:rPr>
              <w:t>24-27 Şubat 2018</w:t>
            </w:r>
          </w:p>
        </w:tc>
      </w:tr>
      <w:tr w:rsidR="0021201D" w:rsidRPr="009B4CF1" w:rsidTr="00E323A8">
        <w:tc>
          <w:tcPr>
            <w:tcW w:w="3190"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Giriş listesinin yayınlanma süresi</w:t>
            </w:r>
          </w:p>
        </w:tc>
        <w:tc>
          <w:tcPr>
            <w:tcW w:w="3189"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En geç 29 Ekim 2017 kadar</w:t>
            </w:r>
          </w:p>
        </w:tc>
        <w:tc>
          <w:tcPr>
            <w:tcW w:w="3084"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En geç 28 Şubat 2018'e kadar</w:t>
            </w:r>
          </w:p>
        </w:tc>
      </w:tr>
      <w:tr w:rsidR="0021201D" w:rsidRPr="009B4CF1" w:rsidTr="00AA2425">
        <w:tc>
          <w:tcPr>
            <w:tcW w:w="3190"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Bireylerin ve tüzel kişilerin fonları için girenlerin kayıt süresi</w:t>
            </w:r>
          </w:p>
        </w:tc>
        <w:tc>
          <w:tcPr>
            <w:tcW w:w="3189" w:type="dxa"/>
          </w:tcPr>
          <w:p w:rsidR="0021201D" w:rsidRPr="009B4CF1" w:rsidRDefault="0021201D" w:rsidP="007379A0">
            <w:pPr>
              <w:jc w:val="center"/>
              <w:rPr>
                <w:rFonts w:ascii="Times New Roman" w:hAnsi="Times New Roman"/>
                <w:sz w:val="28"/>
                <w:szCs w:val="28"/>
                <w:lang w:val="en-US"/>
              </w:rPr>
            </w:pPr>
            <w:r w:rsidRPr="009B4CF1">
              <w:rPr>
                <w:rFonts w:ascii="Times New Roman" w:hAnsi="Times New Roman"/>
                <w:sz w:val="28"/>
                <w:szCs w:val="28"/>
                <w:lang w:val="en-US"/>
              </w:rPr>
              <w:t xml:space="preserve">En geç </w:t>
            </w:r>
            <w:r>
              <w:rPr>
                <w:rFonts w:ascii="Times New Roman" w:hAnsi="Times New Roman"/>
                <w:sz w:val="28"/>
                <w:szCs w:val="28"/>
                <w:lang w:val="en-US"/>
              </w:rPr>
              <w:t>1 Kasım 2017'e kadar</w:t>
            </w:r>
          </w:p>
        </w:tc>
        <w:tc>
          <w:tcPr>
            <w:tcW w:w="3084" w:type="dxa"/>
          </w:tcPr>
          <w:p w:rsidR="0021201D" w:rsidRPr="009B4CF1" w:rsidRDefault="0021201D" w:rsidP="007379A0">
            <w:pPr>
              <w:jc w:val="center"/>
              <w:rPr>
                <w:rFonts w:ascii="Times New Roman" w:hAnsi="Times New Roman"/>
                <w:sz w:val="28"/>
                <w:szCs w:val="28"/>
                <w:lang w:val="en-US"/>
              </w:rPr>
            </w:pPr>
            <w:r>
              <w:rPr>
                <w:rFonts w:ascii="Times New Roman" w:hAnsi="Times New Roman"/>
                <w:sz w:val="28"/>
                <w:szCs w:val="28"/>
                <w:lang w:val="en-US"/>
              </w:rPr>
              <w:t xml:space="preserve">En </w:t>
            </w:r>
            <w:r w:rsidRPr="009B4CF1">
              <w:rPr>
                <w:rFonts w:ascii="Times New Roman" w:hAnsi="Times New Roman"/>
                <w:sz w:val="28"/>
                <w:szCs w:val="28"/>
                <w:lang w:val="en-US"/>
              </w:rPr>
              <w:t>geç 01 Mart 2018'</w:t>
            </w:r>
            <w:r>
              <w:rPr>
                <w:rFonts w:ascii="Times New Roman" w:hAnsi="Times New Roman"/>
                <w:sz w:val="28"/>
                <w:szCs w:val="28"/>
                <w:lang w:val="en-US"/>
              </w:rPr>
              <w:t>e kadar</w:t>
            </w:r>
          </w:p>
        </w:tc>
      </w:tr>
    </w:tbl>
    <w:p w:rsidR="0021201D" w:rsidRPr="00027C53" w:rsidRDefault="0021201D" w:rsidP="007C45EE">
      <w:pPr>
        <w:pStyle w:val="ListParagraph"/>
        <w:widowControl w:val="0"/>
        <w:tabs>
          <w:tab w:val="num" w:pos="0"/>
        </w:tabs>
        <w:spacing w:after="0" w:line="240" w:lineRule="auto"/>
        <w:ind w:left="0" w:firstLine="709"/>
        <w:jc w:val="both"/>
        <w:rPr>
          <w:rFonts w:ascii="Times New Roman" w:hAnsi="Times New Roman"/>
          <w:sz w:val="28"/>
          <w:szCs w:val="28"/>
          <w:lang w:val="uk-UA"/>
        </w:rPr>
      </w:pP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Yabancılar, Kabul bürosuna sadece kağıt formunda başvuruda bulunurlar. Ek, kağıt formunda yapılan başvuruya ek olarak şunları ekliyor:</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Yabancının belgesinin pasaportunun bir kopyası veya vatansız bir kişiyi belgeleyen bir belge (tercümanın noter tasdikiyle Ukraynaca tercüme eder);</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Eğitimle ilgili belgenin bir kopyası ve ekinde, yurtdışında alınan eğitim belgeleri için Ukrayna mevcut mevzuatına uygun olarak eşdeğerlik tespiti ve kurulması için zorunlu prosedürü geçenler (çeviri noter tasdikli Ukraynaca tercüme);</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Bir yabancı / Ukrayna eğitim kurumu tarafından verilen akademik sertifika (ikinci sınıftan itibaren transfer veya yenileme durumunda akademik geçmiş ekli);</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Yükseköğretimin önceki seviyesine (seviyeye), alınan kredilere, eğitimin süresine ve yüksek lisans veya lisansüstü eğitim girişinde akademik disiplinlerin başarısına göre müfredatın içeriği hakkında bilgi içeren belgenin bir kopyası ;</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Ukrayna'nın uluslararası sözleşmeleri gereği aksine öngörülmedikçe sağlık sigortası poliçesi;</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3x4 cm'lik 4 fotoğraf;</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Yabancı bir Ukrayna'nın sertifikasının bir kopyası;</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Seçilen bilimsel uzmanlık alanıyla ilgili araştırma önerisi veya adayın çalışma yeri / eğitim yerinde kurulmuş prosedür tarafından onaylanmış, yayınlanmış bilimsel makale ve icatların Ukraynaca veya İngilizce olarak listesi ayrıca lisansüstü çalışmaya kabul edildiğinde sunulur;</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 KSAU'da çalışma davetiyesi.</w:t>
      </w:r>
    </w:p>
    <w:p w:rsidR="0021201D" w:rsidRPr="00EF3C12" w:rsidRDefault="0021201D" w:rsidP="00EF3C12">
      <w:pPr>
        <w:pStyle w:val="ListParagraph"/>
        <w:widowControl w:val="0"/>
        <w:spacing w:after="0" w:line="240" w:lineRule="auto"/>
        <w:jc w:val="both"/>
        <w:rPr>
          <w:rFonts w:ascii="Times New Roman" w:hAnsi="Times New Roman"/>
          <w:sz w:val="28"/>
          <w:szCs w:val="28"/>
          <w:lang w:val="uk-UA"/>
        </w:rPr>
      </w:pPr>
      <w:r w:rsidRPr="00EF3C12">
        <w:rPr>
          <w:rFonts w:ascii="Times New Roman" w:hAnsi="Times New Roman"/>
          <w:sz w:val="28"/>
          <w:szCs w:val="28"/>
          <w:lang w:val="uk-UA"/>
        </w:rPr>
        <w:t>Belgelerin tüm kopyaları KSAU Kabul Komitesi tarafından veya yasayla öngörülen şekilde onaylanmıştır. Kimlik belgesinin ve vatandaşlığın kopyaları belgeye tabi değildir. Orijinalleri sunmayan kopyalar, Kabul Kurulunca kabul edilmemektedir.</w:t>
      </w:r>
    </w:p>
    <w:sectPr w:rsidR="0021201D" w:rsidRPr="00EF3C12" w:rsidSect="007C45E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4782"/>
    <w:multiLevelType w:val="hybridMultilevel"/>
    <w:tmpl w:val="1E4822B0"/>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5EE"/>
    <w:rsid w:val="00001D48"/>
    <w:rsid w:val="0000253D"/>
    <w:rsid w:val="00005EE6"/>
    <w:rsid w:val="00011C89"/>
    <w:rsid w:val="00012416"/>
    <w:rsid w:val="000138B2"/>
    <w:rsid w:val="0001762C"/>
    <w:rsid w:val="00026522"/>
    <w:rsid w:val="00027C53"/>
    <w:rsid w:val="00030592"/>
    <w:rsid w:val="00036B95"/>
    <w:rsid w:val="00050A16"/>
    <w:rsid w:val="00052EAE"/>
    <w:rsid w:val="000810F6"/>
    <w:rsid w:val="00086370"/>
    <w:rsid w:val="000A4A50"/>
    <w:rsid w:val="000B02C8"/>
    <w:rsid w:val="000C5429"/>
    <w:rsid w:val="000D3118"/>
    <w:rsid w:val="000E2317"/>
    <w:rsid w:val="000E581F"/>
    <w:rsid w:val="000E6892"/>
    <w:rsid w:val="00101B1B"/>
    <w:rsid w:val="001047A3"/>
    <w:rsid w:val="00106B29"/>
    <w:rsid w:val="001166B2"/>
    <w:rsid w:val="001208F6"/>
    <w:rsid w:val="00130DA7"/>
    <w:rsid w:val="00133610"/>
    <w:rsid w:val="00135DB0"/>
    <w:rsid w:val="0014014A"/>
    <w:rsid w:val="00145617"/>
    <w:rsid w:val="00146EEE"/>
    <w:rsid w:val="00147B1D"/>
    <w:rsid w:val="00152EDC"/>
    <w:rsid w:val="00153EF1"/>
    <w:rsid w:val="00163478"/>
    <w:rsid w:val="001642A0"/>
    <w:rsid w:val="00171F8F"/>
    <w:rsid w:val="00183D10"/>
    <w:rsid w:val="001A5C85"/>
    <w:rsid w:val="001B68A3"/>
    <w:rsid w:val="001C3EE7"/>
    <w:rsid w:val="001C4890"/>
    <w:rsid w:val="001C7D72"/>
    <w:rsid w:val="001D00AF"/>
    <w:rsid w:val="001E7B68"/>
    <w:rsid w:val="002018AE"/>
    <w:rsid w:val="0021201D"/>
    <w:rsid w:val="00213029"/>
    <w:rsid w:val="002177FE"/>
    <w:rsid w:val="0023195C"/>
    <w:rsid w:val="0023578E"/>
    <w:rsid w:val="00237610"/>
    <w:rsid w:val="00244273"/>
    <w:rsid w:val="00251590"/>
    <w:rsid w:val="00253848"/>
    <w:rsid w:val="002601BB"/>
    <w:rsid w:val="00261175"/>
    <w:rsid w:val="00261CBD"/>
    <w:rsid w:val="00262267"/>
    <w:rsid w:val="002649F9"/>
    <w:rsid w:val="00267045"/>
    <w:rsid w:val="00272CAD"/>
    <w:rsid w:val="002748E5"/>
    <w:rsid w:val="00277764"/>
    <w:rsid w:val="002829B2"/>
    <w:rsid w:val="002905C9"/>
    <w:rsid w:val="00293D85"/>
    <w:rsid w:val="002966CD"/>
    <w:rsid w:val="002A579C"/>
    <w:rsid w:val="002B1658"/>
    <w:rsid w:val="002B4693"/>
    <w:rsid w:val="002B51D3"/>
    <w:rsid w:val="002C5117"/>
    <w:rsid w:val="002D6404"/>
    <w:rsid w:val="002E26F4"/>
    <w:rsid w:val="002F04B3"/>
    <w:rsid w:val="002F12B8"/>
    <w:rsid w:val="0032769E"/>
    <w:rsid w:val="00327DE0"/>
    <w:rsid w:val="00344C48"/>
    <w:rsid w:val="003462F0"/>
    <w:rsid w:val="00346475"/>
    <w:rsid w:val="00347BB2"/>
    <w:rsid w:val="003539D5"/>
    <w:rsid w:val="0035799C"/>
    <w:rsid w:val="003661A6"/>
    <w:rsid w:val="003730F6"/>
    <w:rsid w:val="003904D9"/>
    <w:rsid w:val="00393131"/>
    <w:rsid w:val="003961A4"/>
    <w:rsid w:val="003A0E67"/>
    <w:rsid w:val="003A45F2"/>
    <w:rsid w:val="003A68B4"/>
    <w:rsid w:val="003C46FC"/>
    <w:rsid w:val="003D3C81"/>
    <w:rsid w:val="003E100C"/>
    <w:rsid w:val="003E69AF"/>
    <w:rsid w:val="003E7016"/>
    <w:rsid w:val="003F6E9A"/>
    <w:rsid w:val="00410B03"/>
    <w:rsid w:val="004248C6"/>
    <w:rsid w:val="00432BE1"/>
    <w:rsid w:val="004337DF"/>
    <w:rsid w:val="00435C1A"/>
    <w:rsid w:val="00443EE7"/>
    <w:rsid w:val="0044569F"/>
    <w:rsid w:val="004503D4"/>
    <w:rsid w:val="00475657"/>
    <w:rsid w:val="004765B5"/>
    <w:rsid w:val="00482DED"/>
    <w:rsid w:val="00485258"/>
    <w:rsid w:val="00486070"/>
    <w:rsid w:val="004874DB"/>
    <w:rsid w:val="00492335"/>
    <w:rsid w:val="004A0888"/>
    <w:rsid w:val="004D0292"/>
    <w:rsid w:val="004D0E77"/>
    <w:rsid w:val="004D3B47"/>
    <w:rsid w:val="004D747A"/>
    <w:rsid w:val="004E2140"/>
    <w:rsid w:val="004E490E"/>
    <w:rsid w:val="004E63D3"/>
    <w:rsid w:val="004F1041"/>
    <w:rsid w:val="004F1471"/>
    <w:rsid w:val="004F4B8A"/>
    <w:rsid w:val="00501F09"/>
    <w:rsid w:val="0051557F"/>
    <w:rsid w:val="00517375"/>
    <w:rsid w:val="00522C04"/>
    <w:rsid w:val="00532887"/>
    <w:rsid w:val="005365B8"/>
    <w:rsid w:val="0054207F"/>
    <w:rsid w:val="00550357"/>
    <w:rsid w:val="005518D8"/>
    <w:rsid w:val="00561A5C"/>
    <w:rsid w:val="0056684D"/>
    <w:rsid w:val="005709F6"/>
    <w:rsid w:val="00582A48"/>
    <w:rsid w:val="00582B78"/>
    <w:rsid w:val="00582DBE"/>
    <w:rsid w:val="005839D5"/>
    <w:rsid w:val="0059750E"/>
    <w:rsid w:val="005B21B6"/>
    <w:rsid w:val="005C0B3B"/>
    <w:rsid w:val="005C6B5A"/>
    <w:rsid w:val="005D7D9B"/>
    <w:rsid w:val="005E7FBE"/>
    <w:rsid w:val="005F213F"/>
    <w:rsid w:val="005F5765"/>
    <w:rsid w:val="00606225"/>
    <w:rsid w:val="00623F30"/>
    <w:rsid w:val="00631106"/>
    <w:rsid w:val="00631C71"/>
    <w:rsid w:val="006427E5"/>
    <w:rsid w:val="006514A7"/>
    <w:rsid w:val="006518E7"/>
    <w:rsid w:val="006521BD"/>
    <w:rsid w:val="0065235C"/>
    <w:rsid w:val="006538FC"/>
    <w:rsid w:val="00665E4A"/>
    <w:rsid w:val="006678D9"/>
    <w:rsid w:val="00682C1C"/>
    <w:rsid w:val="00687AAC"/>
    <w:rsid w:val="0069385B"/>
    <w:rsid w:val="00695C27"/>
    <w:rsid w:val="0069656D"/>
    <w:rsid w:val="006A4DEC"/>
    <w:rsid w:val="006B7341"/>
    <w:rsid w:val="006C1192"/>
    <w:rsid w:val="006C7FD5"/>
    <w:rsid w:val="006D582C"/>
    <w:rsid w:val="006F68D3"/>
    <w:rsid w:val="007024A6"/>
    <w:rsid w:val="0070396D"/>
    <w:rsid w:val="00704C7B"/>
    <w:rsid w:val="007108E7"/>
    <w:rsid w:val="00724385"/>
    <w:rsid w:val="007339EF"/>
    <w:rsid w:val="0073765E"/>
    <w:rsid w:val="007379A0"/>
    <w:rsid w:val="00737F7B"/>
    <w:rsid w:val="007532FD"/>
    <w:rsid w:val="00760011"/>
    <w:rsid w:val="00760634"/>
    <w:rsid w:val="00763BBE"/>
    <w:rsid w:val="00763C84"/>
    <w:rsid w:val="00767167"/>
    <w:rsid w:val="0078090F"/>
    <w:rsid w:val="007864AF"/>
    <w:rsid w:val="00790014"/>
    <w:rsid w:val="007932FF"/>
    <w:rsid w:val="007938C5"/>
    <w:rsid w:val="0079532D"/>
    <w:rsid w:val="007A21F4"/>
    <w:rsid w:val="007A38B6"/>
    <w:rsid w:val="007A6BE8"/>
    <w:rsid w:val="007A7338"/>
    <w:rsid w:val="007B079C"/>
    <w:rsid w:val="007B76B8"/>
    <w:rsid w:val="007C45EE"/>
    <w:rsid w:val="007E11EC"/>
    <w:rsid w:val="007E4C2C"/>
    <w:rsid w:val="007E52D8"/>
    <w:rsid w:val="007F149E"/>
    <w:rsid w:val="008043BF"/>
    <w:rsid w:val="00804589"/>
    <w:rsid w:val="008056F1"/>
    <w:rsid w:val="008121EE"/>
    <w:rsid w:val="008171C5"/>
    <w:rsid w:val="00824D14"/>
    <w:rsid w:val="0082747E"/>
    <w:rsid w:val="00831316"/>
    <w:rsid w:val="00834CBF"/>
    <w:rsid w:val="0083520D"/>
    <w:rsid w:val="00871BC3"/>
    <w:rsid w:val="00875B1E"/>
    <w:rsid w:val="00881914"/>
    <w:rsid w:val="008851D9"/>
    <w:rsid w:val="00885741"/>
    <w:rsid w:val="008923B9"/>
    <w:rsid w:val="00892532"/>
    <w:rsid w:val="008A2BD7"/>
    <w:rsid w:val="008A3712"/>
    <w:rsid w:val="008A4C5C"/>
    <w:rsid w:val="008A7927"/>
    <w:rsid w:val="008B09EE"/>
    <w:rsid w:val="008D77FE"/>
    <w:rsid w:val="008E4FD7"/>
    <w:rsid w:val="008F0855"/>
    <w:rsid w:val="00900C81"/>
    <w:rsid w:val="009024EA"/>
    <w:rsid w:val="00902E0B"/>
    <w:rsid w:val="009045BF"/>
    <w:rsid w:val="009047B8"/>
    <w:rsid w:val="0090591D"/>
    <w:rsid w:val="00922A63"/>
    <w:rsid w:val="00922CD1"/>
    <w:rsid w:val="009246D2"/>
    <w:rsid w:val="00956B1A"/>
    <w:rsid w:val="00964DB2"/>
    <w:rsid w:val="00966B9E"/>
    <w:rsid w:val="00973D6C"/>
    <w:rsid w:val="00986CA6"/>
    <w:rsid w:val="00990460"/>
    <w:rsid w:val="009A0624"/>
    <w:rsid w:val="009A4438"/>
    <w:rsid w:val="009B4CF1"/>
    <w:rsid w:val="009B6E3B"/>
    <w:rsid w:val="009B6F4E"/>
    <w:rsid w:val="009C084C"/>
    <w:rsid w:val="009C4475"/>
    <w:rsid w:val="009D3E08"/>
    <w:rsid w:val="009D7DD8"/>
    <w:rsid w:val="009D7E0A"/>
    <w:rsid w:val="009F0C1F"/>
    <w:rsid w:val="009F6826"/>
    <w:rsid w:val="009F6AF0"/>
    <w:rsid w:val="009F6F1D"/>
    <w:rsid w:val="009F76D9"/>
    <w:rsid w:val="00A036D5"/>
    <w:rsid w:val="00A06A63"/>
    <w:rsid w:val="00A3359F"/>
    <w:rsid w:val="00A365F9"/>
    <w:rsid w:val="00A409B3"/>
    <w:rsid w:val="00A43F00"/>
    <w:rsid w:val="00A46A36"/>
    <w:rsid w:val="00A50462"/>
    <w:rsid w:val="00A57472"/>
    <w:rsid w:val="00A63106"/>
    <w:rsid w:val="00A7286B"/>
    <w:rsid w:val="00A90F73"/>
    <w:rsid w:val="00A91336"/>
    <w:rsid w:val="00A947E7"/>
    <w:rsid w:val="00A973CB"/>
    <w:rsid w:val="00A974D9"/>
    <w:rsid w:val="00AA2425"/>
    <w:rsid w:val="00AA429F"/>
    <w:rsid w:val="00AB48A3"/>
    <w:rsid w:val="00AC45A3"/>
    <w:rsid w:val="00AC5306"/>
    <w:rsid w:val="00AD104B"/>
    <w:rsid w:val="00AD7F71"/>
    <w:rsid w:val="00AE62A3"/>
    <w:rsid w:val="00AF483B"/>
    <w:rsid w:val="00AF7179"/>
    <w:rsid w:val="00B077B3"/>
    <w:rsid w:val="00B264B0"/>
    <w:rsid w:val="00B409A9"/>
    <w:rsid w:val="00B55A81"/>
    <w:rsid w:val="00B62F84"/>
    <w:rsid w:val="00B75FAD"/>
    <w:rsid w:val="00B80742"/>
    <w:rsid w:val="00B81CD2"/>
    <w:rsid w:val="00BA5843"/>
    <w:rsid w:val="00BA70EC"/>
    <w:rsid w:val="00BA7B12"/>
    <w:rsid w:val="00BB0A89"/>
    <w:rsid w:val="00BD4363"/>
    <w:rsid w:val="00BE2D7B"/>
    <w:rsid w:val="00BE4C8C"/>
    <w:rsid w:val="00BE5194"/>
    <w:rsid w:val="00BF4443"/>
    <w:rsid w:val="00C00A69"/>
    <w:rsid w:val="00C0438C"/>
    <w:rsid w:val="00C11AB0"/>
    <w:rsid w:val="00C128C8"/>
    <w:rsid w:val="00C17ED8"/>
    <w:rsid w:val="00C26265"/>
    <w:rsid w:val="00C31ECE"/>
    <w:rsid w:val="00C3736E"/>
    <w:rsid w:val="00C37984"/>
    <w:rsid w:val="00C44D8B"/>
    <w:rsid w:val="00C47BB7"/>
    <w:rsid w:val="00C6147A"/>
    <w:rsid w:val="00C618AE"/>
    <w:rsid w:val="00C759CE"/>
    <w:rsid w:val="00C770FC"/>
    <w:rsid w:val="00C82853"/>
    <w:rsid w:val="00C90B53"/>
    <w:rsid w:val="00C92428"/>
    <w:rsid w:val="00C93B91"/>
    <w:rsid w:val="00C96918"/>
    <w:rsid w:val="00CA05FA"/>
    <w:rsid w:val="00CA14EA"/>
    <w:rsid w:val="00CA776A"/>
    <w:rsid w:val="00CB15C5"/>
    <w:rsid w:val="00CD3A24"/>
    <w:rsid w:val="00CF621F"/>
    <w:rsid w:val="00D017F5"/>
    <w:rsid w:val="00D05EA1"/>
    <w:rsid w:val="00D16069"/>
    <w:rsid w:val="00D17BDE"/>
    <w:rsid w:val="00D259D0"/>
    <w:rsid w:val="00D33FCD"/>
    <w:rsid w:val="00D3452A"/>
    <w:rsid w:val="00D35DA3"/>
    <w:rsid w:val="00D47DE1"/>
    <w:rsid w:val="00D504AC"/>
    <w:rsid w:val="00D523E4"/>
    <w:rsid w:val="00D52506"/>
    <w:rsid w:val="00D64763"/>
    <w:rsid w:val="00D71CD4"/>
    <w:rsid w:val="00D760A2"/>
    <w:rsid w:val="00D817AC"/>
    <w:rsid w:val="00D91A0D"/>
    <w:rsid w:val="00D920AE"/>
    <w:rsid w:val="00D96773"/>
    <w:rsid w:val="00DA125E"/>
    <w:rsid w:val="00DC2E66"/>
    <w:rsid w:val="00DC670C"/>
    <w:rsid w:val="00DC6C31"/>
    <w:rsid w:val="00DD6B5E"/>
    <w:rsid w:val="00DE56E5"/>
    <w:rsid w:val="00DF3EC4"/>
    <w:rsid w:val="00E05C5D"/>
    <w:rsid w:val="00E169F4"/>
    <w:rsid w:val="00E26DE6"/>
    <w:rsid w:val="00E30777"/>
    <w:rsid w:val="00E30D59"/>
    <w:rsid w:val="00E30FEC"/>
    <w:rsid w:val="00E323A8"/>
    <w:rsid w:val="00E32A4C"/>
    <w:rsid w:val="00E364A9"/>
    <w:rsid w:val="00E36565"/>
    <w:rsid w:val="00E36C25"/>
    <w:rsid w:val="00E41FB7"/>
    <w:rsid w:val="00E4712C"/>
    <w:rsid w:val="00E51C2D"/>
    <w:rsid w:val="00E533C7"/>
    <w:rsid w:val="00E5684B"/>
    <w:rsid w:val="00E569DB"/>
    <w:rsid w:val="00E57B6A"/>
    <w:rsid w:val="00E6076E"/>
    <w:rsid w:val="00E762B1"/>
    <w:rsid w:val="00E80DC1"/>
    <w:rsid w:val="00E8269F"/>
    <w:rsid w:val="00E845D6"/>
    <w:rsid w:val="00E84A51"/>
    <w:rsid w:val="00E947AC"/>
    <w:rsid w:val="00EB67C7"/>
    <w:rsid w:val="00EC6CF9"/>
    <w:rsid w:val="00ED7E91"/>
    <w:rsid w:val="00EE2F4F"/>
    <w:rsid w:val="00EF3C12"/>
    <w:rsid w:val="00EF6763"/>
    <w:rsid w:val="00F02458"/>
    <w:rsid w:val="00F04151"/>
    <w:rsid w:val="00F054E2"/>
    <w:rsid w:val="00F100A2"/>
    <w:rsid w:val="00F11C5E"/>
    <w:rsid w:val="00F14181"/>
    <w:rsid w:val="00F1476F"/>
    <w:rsid w:val="00F270E7"/>
    <w:rsid w:val="00F41B46"/>
    <w:rsid w:val="00F57EEB"/>
    <w:rsid w:val="00F61FD2"/>
    <w:rsid w:val="00F62412"/>
    <w:rsid w:val="00F65353"/>
    <w:rsid w:val="00F75D3B"/>
    <w:rsid w:val="00F7636D"/>
    <w:rsid w:val="00F94CBA"/>
    <w:rsid w:val="00F97686"/>
    <w:rsid w:val="00FA2382"/>
    <w:rsid w:val="00FB31E5"/>
    <w:rsid w:val="00FC4D37"/>
    <w:rsid w:val="00FD2758"/>
    <w:rsid w:val="00FD50FD"/>
    <w:rsid w:val="00FF3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C45EE"/>
    <w:pPr>
      <w:ind w:left="720"/>
      <w:contextualSpacing/>
    </w:pPr>
  </w:style>
  <w:style w:type="table" w:styleId="TableGrid">
    <w:name w:val="Table Grid"/>
    <w:basedOn w:val="TableNormal"/>
    <w:uiPriority w:val="99"/>
    <w:rsid w:val="007C45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uiPriority w:val="99"/>
    <w:rsid w:val="007C45EE"/>
  </w:style>
  <w:style w:type="paragraph" w:customStyle="1" w:styleId="rvps2">
    <w:name w:val="rvps2"/>
    <w:basedOn w:val="Normal"/>
    <w:uiPriority w:val="99"/>
    <w:rsid w:val="007C45E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4</Pages>
  <Words>1455</Words>
  <Characters>8297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none</cp:lastModifiedBy>
  <cp:revision>15</cp:revision>
  <dcterms:created xsi:type="dcterms:W3CDTF">2017-04-26T14:05:00Z</dcterms:created>
  <dcterms:modified xsi:type="dcterms:W3CDTF">2017-07-14T06:36:00Z</dcterms:modified>
</cp:coreProperties>
</file>